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:rsidTr="008E4629">
        <w:tc>
          <w:tcPr>
            <w:tcW w:w="4962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B87695" w:rsidRPr="00A96C08" w:rsidRDefault="00797C4B" w:rsidP="00F26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Purchase of </w:t>
            </w:r>
            <w:r w:rsidR="004548B0">
              <w:rPr>
                <w:rFonts w:ascii="Arial" w:hAnsi="Arial" w:cs="Arial"/>
              </w:rPr>
              <w:t xml:space="preserve">a two-bedroomed flat at </w:t>
            </w:r>
            <w:r w:rsidR="00F26A8D">
              <w:rPr>
                <w:rFonts w:ascii="Arial" w:hAnsi="Arial" w:cs="Arial"/>
              </w:rPr>
              <w:t>14</w:t>
            </w:r>
            <w:r w:rsidR="00DB1399">
              <w:rPr>
                <w:rFonts w:ascii="Arial" w:hAnsi="Arial" w:cs="Arial"/>
              </w:rPr>
              <w:t>0 Chillingworth Crescent</w:t>
            </w:r>
            <w:r w:rsidR="004548B0">
              <w:rPr>
                <w:rFonts w:ascii="Arial" w:hAnsi="Arial" w:cs="Arial"/>
              </w:rPr>
              <w:t>, Headington, Oxford OX3 8RN</w:t>
            </w:r>
            <w:r w:rsidR="00226FD1">
              <w:rPr>
                <w:rFonts w:ascii="Arial" w:hAnsi="Arial" w:cs="Arial"/>
              </w:rPr>
              <w:t xml:space="preserve"> for the sum of £237,000</w:t>
            </w:r>
            <w:bookmarkStart w:id="0" w:name="_GoBack"/>
            <w:bookmarkEnd w:id="0"/>
          </w:p>
        </w:tc>
      </w:tr>
      <w:tr w:rsidR="006F6326" w:rsidTr="008E4629">
        <w:tc>
          <w:tcPr>
            <w:tcW w:w="4962" w:type="dxa"/>
          </w:tcPr>
          <w:p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</w:tcPr>
          <w:p w:rsidR="00263039" w:rsidRPr="00A96C08" w:rsidRDefault="004548B0" w:rsidP="00A12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January 20</w:t>
            </w:r>
            <w:r w:rsidR="00B66334">
              <w:rPr>
                <w:rFonts w:ascii="Arial" w:hAnsi="Arial" w:cs="Arial"/>
              </w:rPr>
              <w:t>22</w:t>
            </w:r>
          </w:p>
        </w:tc>
      </w:tr>
      <w:tr w:rsidR="00854133" w:rsidTr="008E4629">
        <w:tc>
          <w:tcPr>
            <w:tcW w:w="4962" w:type="dxa"/>
          </w:tcPr>
          <w:p w:rsidR="00854133" w:rsidRPr="00854133" w:rsidRDefault="00854133" w:rsidP="004548B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4962" w:type="dxa"/>
          </w:tcPr>
          <w:p w:rsidR="004548B0" w:rsidRDefault="004548B0" w:rsidP="00454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Cabinet, at its meeting on 22 January 2020, resolved to:</w:t>
            </w:r>
          </w:p>
          <w:p w:rsidR="004548B0" w:rsidRDefault="004548B0" w:rsidP="004548B0">
            <w:pPr>
              <w:rPr>
                <w:rFonts w:ascii="Arial" w:hAnsi="Arial" w:cs="Arial"/>
              </w:rPr>
            </w:pPr>
          </w:p>
          <w:p w:rsidR="004548B0" w:rsidRDefault="004548B0" w:rsidP="004548B0">
            <w:pPr>
              <w:rPr>
                <w:rFonts w:ascii="Arial" w:hAnsi="Arial" w:cs="Arial"/>
              </w:rPr>
            </w:pPr>
            <w:r w:rsidRPr="001B06E5">
              <w:rPr>
                <w:rFonts w:ascii="Arial" w:hAnsi="Arial" w:cs="Arial"/>
              </w:rPr>
              <w:t>Delegate authority to the Director of Housing, in consultation with the Cabinet Member for Affordable Housing; the Head of Financial Services/Section 151 Officer; and the Council’s Monitoring Officer, to enter into agreement for the award of grant, contractual arrangement and/or spend, for the provision of additional affordable housing in perpetuity, using Retained Right to Buy Receipts or</w:t>
            </w:r>
            <w:r>
              <w:rPr>
                <w:rFonts w:ascii="Arial" w:hAnsi="Arial" w:cs="Arial"/>
              </w:rPr>
              <w:t xml:space="preserve"> Recycled Capital Grant funding.</w:t>
            </w:r>
          </w:p>
          <w:p w:rsidR="004548B0" w:rsidRDefault="004548B0" w:rsidP="004548B0">
            <w:pPr>
              <w:rPr>
                <w:rFonts w:ascii="Arial" w:hAnsi="Arial" w:cs="Arial"/>
              </w:rPr>
            </w:pPr>
          </w:p>
          <w:p w:rsidR="004548B0" w:rsidRDefault="004548B0" w:rsidP="00454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delegation is now within the remit of the Executive Director (Communities and People).</w:t>
            </w:r>
          </w:p>
          <w:p w:rsidR="004548B0" w:rsidRPr="001B06E5" w:rsidRDefault="004548B0" w:rsidP="004548B0">
            <w:pPr>
              <w:rPr>
                <w:rFonts w:ascii="Arial" w:hAnsi="Arial" w:cs="Arial"/>
              </w:rPr>
            </w:pPr>
          </w:p>
          <w:p w:rsidR="004548B0" w:rsidRDefault="004548B0" w:rsidP="00454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Cabinet, at its meeting on 10 November 2021 resolved to:</w:t>
            </w:r>
          </w:p>
          <w:p w:rsidR="004548B0" w:rsidRDefault="004548B0" w:rsidP="004548B0">
            <w:pPr>
              <w:rPr>
                <w:rFonts w:ascii="Arial" w:hAnsi="Arial" w:cs="Arial"/>
              </w:rPr>
            </w:pPr>
          </w:p>
          <w:p w:rsidR="004548B0" w:rsidRDefault="004548B0" w:rsidP="00454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Delegate authority to the Executive Director for Communities and People, in consultation with the Cabinet Member for Affordable Housing, Housing Security and Housing the Homeless; the Head of Financial Services; and the Head of Law and Governance, to enter into the agreement for the award of grant, contractual arrangement and/or spend, for the provision of additional affordable housing, using Retained Right to Buy Receipts, within this project approval.</w:t>
            </w:r>
          </w:p>
          <w:p w:rsidR="004548B0" w:rsidRDefault="004548B0" w:rsidP="004548B0">
            <w:pPr>
              <w:rPr>
                <w:rFonts w:ascii="Arial" w:hAnsi="Arial" w:cs="Arial"/>
              </w:rPr>
            </w:pPr>
          </w:p>
          <w:p w:rsidR="00BD4B9C" w:rsidRPr="002854D4" w:rsidRDefault="004548B0" w:rsidP="00454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Council, at its meeting on 29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November 2021, resolved to approve a capital budget in the Housing Revenue Account for £2m expenditure, subsidised using £800,000 of Retained Right to Buy Receipts, to enable further property acquisition activity in the last two quarters of 2021/22.</w:t>
            </w:r>
          </w:p>
        </w:tc>
      </w:tr>
      <w:tr w:rsidR="00B87695" w:rsidTr="008E4629">
        <w:tc>
          <w:tcPr>
            <w:tcW w:w="4962" w:type="dxa"/>
          </w:tcPr>
          <w:p w:rsidR="003B1236" w:rsidRPr="00B87695" w:rsidRDefault="00854133" w:rsidP="004548B0">
            <w:pPr>
              <w:spacing w:before="120" w:after="120"/>
              <w:rPr>
                <w:rFonts w:ascii="Arial" w:hAnsi="Arial" w:cs="Arial"/>
                <w:b/>
              </w:rPr>
            </w:pPr>
            <w:r w:rsidRPr="00797C4B">
              <w:rPr>
                <w:rFonts w:ascii="Arial" w:hAnsi="Arial" w:cs="Arial"/>
                <w:b/>
              </w:rPr>
              <w:t>What decision was made?</w:t>
            </w:r>
          </w:p>
        </w:tc>
        <w:tc>
          <w:tcPr>
            <w:tcW w:w="4962" w:type="dxa"/>
          </w:tcPr>
          <w:p w:rsidR="006247C4" w:rsidRPr="00A96C08" w:rsidRDefault="00AF4C7F" w:rsidP="00454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548B0">
              <w:rPr>
                <w:rFonts w:ascii="Arial" w:hAnsi="Arial" w:cs="Arial"/>
              </w:rPr>
              <w:t xml:space="preserve">urchase of a two-bedroomed </w:t>
            </w:r>
            <w:r w:rsidR="00797C4B">
              <w:rPr>
                <w:rFonts w:ascii="Arial" w:hAnsi="Arial" w:cs="Arial"/>
              </w:rPr>
              <w:t xml:space="preserve">flat </w:t>
            </w:r>
            <w:r w:rsidR="004548B0">
              <w:rPr>
                <w:rFonts w:ascii="Arial" w:hAnsi="Arial" w:cs="Arial"/>
              </w:rPr>
              <w:t>at 140 Chillingworth Crescent using Right to Buy Receipts in order to bring the property into the Housing Revenue Account.</w:t>
            </w:r>
          </w:p>
        </w:tc>
      </w:tr>
      <w:tr w:rsidR="00373F5D" w:rsidTr="008E4629">
        <w:tc>
          <w:tcPr>
            <w:tcW w:w="4962" w:type="dxa"/>
          </w:tcPr>
          <w:p w:rsidR="00373F5D" w:rsidRPr="00373F5D" w:rsidRDefault="00373F5D" w:rsidP="004548B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Purpose:</w:t>
            </w:r>
          </w:p>
        </w:tc>
        <w:tc>
          <w:tcPr>
            <w:tcW w:w="4962" w:type="dxa"/>
          </w:tcPr>
          <w:p w:rsidR="00373F5D" w:rsidRPr="00A96C08" w:rsidRDefault="00330571" w:rsidP="00AF4C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Agreement </w:t>
            </w:r>
            <w:r w:rsidR="00D3394A">
              <w:rPr>
                <w:rFonts w:ascii="Arial" w:hAnsi="Arial" w:cs="Arial"/>
              </w:rPr>
              <w:t xml:space="preserve">to </w:t>
            </w:r>
            <w:r w:rsidR="004548B0">
              <w:rPr>
                <w:rFonts w:ascii="Arial" w:hAnsi="Arial" w:cs="Arial"/>
              </w:rPr>
              <w:t>purchase the unit, making best use of right to buy receipts and enabling the council to provide additional affordable housing.</w:t>
            </w:r>
          </w:p>
        </w:tc>
      </w:tr>
      <w:tr w:rsidR="00DC2E8D" w:rsidTr="008E4629">
        <w:tc>
          <w:tcPr>
            <w:tcW w:w="4962" w:type="dxa"/>
          </w:tcPr>
          <w:p w:rsidR="00DC2E8D" w:rsidRPr="008E4629" w:rsidRDefault="008E4629" w:rsidP="004548B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4962" w:type="dxa"/>
          </w:tcPr>
          <w:p w:rsidR="00CB5E4F" w:rsidRPr="00A96C08" w:rsidRDefault="004548B0" w:rsidP="00330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purchase enables the use of</w:t>
            </w:r>
            <w:r w:rsidR="00AF4C7F">
              <w:rPr>
                <w:rFonts w:ascii="Arial" w:hAnsi="Arial" w:cs="Arial"/>
              </w:rPr>
              <w:t xml:space="preserve"> remaining Right To Buy Receipts</w:t>
            </w:r>
            <w:r>
              <w:rPr>
                <w:rFonts w:ascii="Arial" w:hAnsi="Arial" w:cs="Arial"/>
              </w:rPr>
              <w:t xml:space="preserve"> to </w:t>
            </w:r>
            <w:r w:rsidR="00040932">
              <w:rPr>
                <w:rFonts w:ascii="Arial" w:hAnsi="Arial" w:cs="Arial"/>
              </w:rPr>
              <w:t>purchase the property into the Housing Revenue Account, making best use of Right to Buy Receipts and enabling the council to provide</w:t>
            </w:r>
            <w:r>
              <w:rPr>
                <w:rFonts w:ascii="Arial" w:hAnsi="Arial" w:cs="Arial"/>
              </w:rPr>
              <w:t xml:space="preserve"> additional affordable housing.</w:t>
            </w:r>
          </w:p>
        </w:tc>
      </w:tr>
      <w:tr w:rsidR="00B87695" w:rsidTr="008E4629">
        <w:tc>
          <w:tcPr>
            <w:tcW w:w="4962" w:type="dxa"/>
          </w:tcPr>
          <w:p w:rsidR="00B87695" w:rsidRPr="00B87695" w:rsidRDefault="00B87695" w:rsidP="004548B0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4962" w:type="dxa"/>
          </w:tcPr>
          <w:p w:rsidR="00B87695" w:rsidRDefault="00AF4C7F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Stephen Gabriel, </w:t>
            </w:r>
            <w:r w:rsidR="00142C60">
              <w:rPr>
                <w:rFonts w:ascii="Arial" w:hAnsi="Arial" w:cs="Arial"/>
              </w:rPr>
              <w:t xml:space="preserve">Executive </w:t>
            </w:r>
            <w:r>
              <w:rPr>
                <w:rFonts w:ascii="Arial" w:hAnsi="Arial" w:cs="Arial"/>
              </w:rPr>
              <w:t xml:space="preserve">Director of </w:t>
            </w:r>
            <w:r w:rsidR="00142C60">
              <w:rPr>
                <w:rFonts w:ascii="Arial" w:hAnsi="Arial" w:cs="Arial"/>
              </w:rPr>
              <w:t>Communities and People</w:t>
            </w:r>
          </w:p>
          <w:p w:rsidR="002B5B52" w:rsidRPr="00A96C08" w:rsidRDefault="002B5B52" w:rsidP="00797C4B">
            <w:pPr>
              <w:rPr>
                <w:rFonts w:ascii="Arial" w:hAnsi="Arial" w:cs="Arial"/>
              </w:rPr>
            </w:pPr>
          </w:p>
        </w:tc>
      </w:tr>
      <w:tr w:rsidR="006F6326" w:rsidTr="008E4629">
        <w:tc>
          <w:tcPr>
            <w:tcW w:w="4962" w:type="dxa"/>
          </w:tcPr>
          <w:p w:rsidR="006F6326" w:rsidRDefault="006F6326" w:rsidP="00E04A12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263039" w:rsidRPr="00A96C08" w:rsidRDefault="00E04A12" w:rsidP="00330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not proceed with the acquisition.  This option was rejected as the purchase represents good value to the Council and contributes to the target of providing more affordable housing.</w:t>
            </w:r>
          </w:p>
        </w:tc>
      </w:tr>
      <w:tr w:rsidR="006F6326" w:rsidTr="00E04A12">
        <w:tc>
          <w:tcPr>
            <w:tcW w:w="4962" w:type="dxa"/>
          </w:tcPr>
          <w:p w:rsidR="00C678ED" w:rsidRPr="00C678ED" w:rsidRDefault="006F6326" w:rsidP="00E04A12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2" w:type="dxa"/>
          </w:tcPr>
          <w:p w:rsidR="006F6326" w:rsidRPr="00A96C08" w:rsidRDefault="00E04A12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:rsidTr="008E4629">
        <w:tc>
          <w:tcPr>
            <w:tcW w:w="4962" w:type="dxa"/>
          </w:tcPr>
          <w:p w:rsidR="003505E0" w:rsidRDefault="003505E0" w:rsidP="00E04A12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6F6326" w:rsidRPr="00A96C08" w:rsidRDefault="002854D4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k</w:t>
            </w:r>
            <w:r w:rsidR="00B52EB3">
              <w:rPr>
                <w:rFonts w:ascii="Arial" w:hAnsi="Arial" w:cs="Arial"/>
              </w:rPr>
              <w:t>ey</w:t>
            </w:r>
          </w:p>
        </w:tc>
      </w:tr>
      <w:tr w:rsidR="006F6326" w:rsidTr="008E4629">
        <w:tc>
          <w:tcPr>
            <w:tcW w:w="4962" w:type="dxa"/>
          </w:tcPr>
          <w:p w:rsidR="006F6326" w:rsidRPr="008E4629" w:rsidRDefault="006F6326" w:rsidP="00E04A12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2" w:type="dxa"/>
          </w:tcPr>
          <w:p w:rsidR="006F6326" w:rsidRPr="00A96C08" w:rsidRDefault="00B52EB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:rsidTr="008E4629">
        <w:tc>
          <w:tcPr>
            <w:tcW w:w="4962" w:type="dxa"/>
          </w:tcPr>
          <w:p w:rsidR="006F6326" w:rsidRPr="006F6326" w:rsidRDefault="006F6326" w:rsidP="00E04A12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6F6326" w:rsidRPr="00A96C08" w:rsidRDefault="00B52EB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:rsidTr="008E4629">
        <w:tc>
          <w:tcPr>
            <w:tcW w:w="4962" w:type="dxa"/>
          </w:tcPr>
          <w:p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2" w:type="dxa"/>
          </w:tcPr>
          <w:p w:rsidR="00B52EB3" w:rsidRDefault="00F34F0C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Becky </w:t>
            </w:r>
            <w:proofErr w:type="spellStart"/>
            <w:r>
              <w:rPr>
                <w:rFonts w:ascii="Arial" w:hAnsi="Arial" w:cs="Arial"/>
              </w:rPr>
              <w:t>McGillveray</w:t>
            </w:r>
            <w:proofErr w:type="spellEnd"/>
          </w:p>
          <w:p w:rsidR="00550775" w:rsidRDefault="00550775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Affordable Housing </w:t>
            </w:r>
            <w:r w:rsidR="00AE0CA0">
              <w:rPr>
                <w:rFonts w:ascii="Arial" w:hAnsi="Arial" w:cs="Arial"/>
              </w:rPr>
              <w:t xml:space="preserve">Supply </w:t>
            </w:r>
            <w:r w:rsidR="00F34F0C">
              <w:rPr>
                <w:rFonts w:ascii="Arial" w:hAnsi="Arial" w:cs="Arial"/>
              </w:rPr>
              <w:t>Programme Officer</w:t>
            </w:r>
          </w:p>
          <w:p w:rsidR="00B52EB3" w:rsidRPr="00A96C08" w:rsidRDefault="00F26A8D" w:rsidP="002B5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18.01.22</w:t>
            </w:r>
          </w:p>
        </w:tc>
      </w:tr>
    </w:tbl>
    <w:p w:rsidR="002611EB" w:rsidRDefault="002611EB" w:rsidP="008A22C6"/>
    <w:p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:rsidTr="00405321">
        <w:trPr>
          <w:trHeight w:val="516"/>
        </w:trPr>
        <w:tc>
          <w:tcPr>
            <w:tcW w:w="3828" w:type="dxa"/>
          </w:tcPr>
          <w:p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E04A12" w:rsidRPr="00A96C08" w:rsidTr="00BF240D">
        <w:trPr>
          <w:trHeight w:val="516"/>
        </w:trPr>
        <w:tc>
          <w:tcPr>
            <w:tcW w:w="3828" w:type="dxa"/>
            <w:vAlign w:val="center"/>
          </w:tcPr>
          <w:p w:rsidR="00E04A12" w:rsidRPr="00405321" w:rsidRDefault="00E04A12" w:rsidP="00BF240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Decision maker</w:t>
            </w:r>
          </w:p>
        </w:tc>
        <w:tc>
          <w:tcPr>
            <w:tcW w:w="4111" w:type="dxa"/>
            <w:vAlign w:val="center"/>
          </w:tcPr>
          <w:p w:rsidR="00E04A12" w:rsidRDefault="00E04A12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Gabriel, Executive Director (Communities and People)</w:t>
            </w:r>
          </w:p>
          <w:p w:rsidR="00E04A12" w:rsidRDefault="00E04A12" w:rsidP="00DD4885">
            <w:pPr>
              <w:rPr>
                <w:rFonts w:ascii="Arial" w:hAnsi="Arial" w:cs="Arial"/>
              </w:rPr>
            </w:pPr>
          </w:p>
          <w:p w:rsidR="00E04A12" w:rsidRDefault="00E04A12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3627FE2B" wp14:editId="374E80C1">
                  <wp:extent cx="1914525" cy="8667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E04A12" w:rsidRDefault="00E04A12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January 2022</w:t>
            </w:r>
          </w:p>
        </w:tc>
      </w:tr>
      <w:tr w:rsidR="00DD4885" w:rsidRPr="00A96C08" w:rsidTr="00BF240D">
        <w:trPr>
          <w:trHeight w:val="1161"/>
        </w:trPr>
        <w:tc>
          <w:tcPr>
            <w:tcW w:w="3828" w:type="dxa"/>
          </w:tcPr>
          <w:p w:rsidR="00DD4885" w:rsidRPr="00BF240D" w:rsidRDefault="00DD4885" w:rsidP="00E04A12">
            <w:pPr>
              <w:spacing w:before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Head of Financial Services</w:t>
            </w:r>
          </w:p>
        </w:tc>
        <w:tc>
          <w:tcPr>
            <w:tcW w:w="4111" w:type="dxa"/>
            <w:vAlign w:val="center"/>
          </w:tcPr>
          <w:p w:rsidR="002E51A2" w:rsidRDefault="002E51A2" w:rsidP="00550775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drawing>
                <wp:inline distT="0" distB="0" distL="0" distR="0" wp14:anchorId="2D0E72EB" wp14:editId="1E5B7C43">
                  <wp:extent cx="887186" cy="67107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16" cy="67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885" w:rsidRPr="00550775" w:rsidRDefault="00550775" w:rsidP="00550775">
            <w:pPr>
              <w:rPr>
                <w:rFonts w:ascii="Arial" w:hAnsi="Arial" w:cs="Arial"/>
              </w:rPr>
            </w:pPr>
            <w:r w:rsidRPr="00550775">
              <w:rPr>
                <w:rFonts w:ascii="Arial" w:hAnsi="Arial" w:cs="Arial"/>
              </w:rPr>
              <w:t xml:space="preserve">Nigel Kennedy, Head of Financial Services </w:t>
            </w:r>
          </w:p>
        </w:tc>
        <w:tc>
          <w:tcPr>
            <w:tcW w:w="1984" w:type="dxa"/>
            <w:vAlign w:val="center"/>
          </w:tcPr>
          <w:p w:rsidR="00DD4885" w:rsidRPr="00F26A8D" w:rsidRDefault="00E04A12" w:rsidP="00F26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January 20</w:t>
            </w:r>
            <w:r w:rsidR="00B63C67">
              <w:rPr>
                <w:rFonts w:ascii="Arial" w:hAnsi="Arial" w:cs="Arial"/>
              </w:rPr>
              <w:t>22</w:t>
            </w:r>
          </w:p>
        </w:tc>
      </w:tr>
      <w:tr w:rsidR="00DD4885" w:rsidRPr="00A96C08" w:rsidTr="00BF240D">
        <w:trPr>
          <w:trHeight w:val="834"/>
        </w:trPr>
        <w:tc>
          <w:tcPr>
            <w:tcW w:w="3828" w:type="dxa"/>
            <w:vAlign w:val="center"/>
          </w:tcPr>
          <w:p w:rsidR="00DD4885" w:rsidRPr="00405321" w:rsidRDefault="00DD4885" w:rsidP="00E04A12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Head of Law and Governance</w:t>
            </w:r>
          </w:p>
        </w:tc>
        <w:tc>
          <w:tcPr>
            <w:tcW w:w="4111" w:type="dxa"/>
            <w:vAlign w:val="center"/>
          </w:tcPr>
          <w:p w:rsidR="00C939C6" w:rsidRDefault="00C939C6" w:rsidP="00DD4885">
            <w:pPr>
              <w:rPr>
                <w:rFonts w:ascii="Arial" w:hAnsi="Arial" w:cs="Arial"/>
              </w:rPr>
            </w:pPr>
          </w:p>
          <w:p w:rsidR="00B558FF" w:rsidRDefault="002E51A2" w:rsidP="00C939C6">
            <w:pPr>
              <w:rPr>
                <w:rFonts w:ascii="Arial" w:hAnsi="Arial" w:cs="Arial"/>
              </w:rPr>
            </w:pPr>
            <w:r w:rsidRPr="00C64101">
              <w:rPr>
                <w:noProof/>
              </w:rPr>
              <w:drawing>
                <wp:inline distT="0" distB="0" distL="0" distR="0" wp14:anchorId="29E7367F" wp14:editId="262266F4">
                  <wp:extent cx="1140147" cy="473529"/>
                  <wp:effectExtent l="0" t="0" r="317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224" cy="47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4885" w:rsidRDefault="00550775" w:rsidP="00C939C6">
            <w:pPr>
              <w:rPr>
                <w:rFonts w:ascii="Arial" w:hAnsi="Arial" w:cs="Arial"/>
              </w:rPr>
            </w:pPr>
            <w:r w:rsidRPr="00550775">
              <w:rPr>
                <w:rFonts w:ascii="Arial" w:hAnsi="Arial" w:cs="Arial"/>
              </w:rPr>
              <w:lastRenderedPageBreak/>
              <w:t>Susan S</w:t>
            </w:r>
            <w:r w:rsidR="00C939C6">
              <w:rPr>
                <w:rFonts w:ascii="Arial" w:hAnsi="Arial" w:cs="Arial"/>
              </w:rPr>
              <w:t>ale, Head of Law and Governance</w:t>
            </w:r>
          </w:p>
          <w:p w:rsidR="00C939C6" w:rsidRPr="00550775" w:rsidRDefault="00C939C6" w:rsidP="00DD48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DD4885" w:rsidRPr="00A96C08" w:rsidRDefault="00E04A12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26 January 2022</w:t>
            </w:r>
          </w:p>
        </w:tc>
      </w:tr>
      <w:tr w:rsidR="00E04A12" w:rsidRPr="00A96C08" w:rsidTr="00BF240D">
        <w:trPr>
          <w:trHeight w:val="562"/>
        </w:trPr>
        <w:tc>
          <w:tcPr>
            <w:tcW w:w="3828" w:type="dxa"/>
            <w:vAlign w:val="center"/>
          </w:tcPr>
          <w:p w:rsidR="00E04A12" w:rsidRPr="00BF240D" w:rsidRDefault="00E04A12" w:rsidP="00E04A12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lastRenderedPageBreak/>
              <w:t>Senior officer</w:t>
            </w:r>
          </w:p>
        </w:tc>
        <w:tc>
          <w:tcPr>
            <w:tcW w:w="4111" w:type="dxa"/>
            <w:vAlign w:val="center"/>
          </w:tcPr>
          <w:p w:rsidR="00E04A12" w:rsidRPr="00A96C08" w:rsidRDefault="00E04A12" w:rsidP="00E04A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 Scholes, Affordable Housing Supply Corporate Lead</w:t>
            </w:r>
          </w:p>
        </w:tc>
        <w:tc>
          <w:tcPr>
            <w:tcW w:w="1984" w:type="dxa"/>
            <w:vAlign w:val="center"/>
          </w:tcPr>
          <w:p w:rsidR="00E04A12" w:rsidRPr="00A96C08" w:rsidRDefault="00E04A12" w:rsidP="00E04A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January 2022</w:t>
            </w:r>
          </w:p>
        </w:tc>
      </w:tr>
      <w:tr w:rsidR="00E04A12" w:rsidRPr="00A96C08" w:rsidTr="00BF240D">
        <w:trPr>
          <w:trHeight w:val="562"/>
        </w:trPr>
        <w:tc>
          <w:tcPr>
            <w:tcW w:w="3828" w:type="dxa"/>
            <w:vAlign w:val="center"/>
          </w:tcPr>
          <w:p w:rsidR="00E04A12" w:rsidRPr="00405321" w:rsidRDefault="00E04A12" w:rsidP="00E04A12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Cabinet Member</w:t>
            </w:r>
          </w:p>
        </w:tc>
        <w:tc>
          <w:tcPr>
            <w:tcW w:w="4111" w:type="dxa"/>
            <w:vAlign w:val="center"/>
          </w:tcPr>
          <w:p w:rsidR="00E04A12" w:rsidRPr="00550775" w:rsidRDefault="00E04A12" w:rsidP="00E04A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 Diko Blackings, </w:t>
            </w:r>
            <w:r w:rsidR="00922C1F">
              <w:rPr>
                <w:rFonts w:ascii="Arial" w:hAnsi="Arial" w:cs="Arial"/>
              </w:rPr>
              <w:t xml:space="preserve">Cabinet Member for </w:t>
            </w:r>
            <w:r>
              <w:rPr>
                <w:rFonts w:ascii="Arial" w:hAnsi="Arial" w:cs="Arial"/>
              </w:rPr>
              <w:t>Affordable Housing</w:t>
            </w:r>
            <w:r w:rsidR="00922C1F">
              <w:rPr>
                <w:rFonts w:ascii="Arial" w:hAnsi="Arial" w:cs="Arial"/>
              </w:rPr>
              <w:t>, Housing Security and Housing the Homeless</w:t>
            </w:r>
          </w:p>
        </w:tc>
        <w:tc>
          <w:tcPr>
            <w:tcW w:w="1984" w:type="dxa"/>
            <w:vAlign w:val="center"/>
          </w:tcPr>
          <w:p w:rsidR="00E04A12" w:rsidRPr="00A96C08" w:rsidRDefault="00E04A12" w:rsidP="00E04A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January 2022</w:t>
            </w:r>
          </w:p>
        </w:tc>
      </w:tr>
    </w:tbl>
    <w:p w:rsidR="008E4629" w:rsidRDefault="008E4629" w:rsidP="002611EB">
      <w:pPr>
        <w:rPr>
          <w:rFonts w:ascii="Arial" w:hAnsi="Arial" w:cs="Arial"/>
        </w:rPr>
      </w:pPr>
    </w:p>
    <w:p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1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4A2" w:rsidRDefault="00D224A2" w:rsidP="00F11FD1">
      <w:r>
        <w:separator/>
      </w:r>
    </w:p>
  </w:endnote>
  <w:endnote w:type="continuationSeparator" w:id="0">
    <w:p w:rsidR="00D224A2" w:rsidRDefault="00D224A2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4A2" w:rsidRDefault="00D224A2" w:rsidP="00F11FD1">
      <w:r>
        <w:separator/>
      </w:r>
    </w:p>
  </w:footnote>
  <w:footnote w:type="continuationSeparator" w:id="0">
    <w:p w:rsidR="00D224A2" w:rsidRDefault="00D224A2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81AE1"/>
    <w:multiLevelType w:val="hybridMultilevel"/>
    <w:tmpl w:val="E1A40C8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91C23"/>
    <w:multiLevelType w:val="hybridMultilevel"/>
    <w:tmpl w:val="4698B5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01027"/>
    <w:rsid w:val="000173BF"/>
    <w:rsid w:val="00040932"/>
    <w:rsid w:val="000445D4"/>
    <w:rsid w:val="0005774E"/>
    <w:rsid w:val="0008133A"/>
    <w:rsid w:val="000B4310"/>
    <w:rsid w:val="000F4239"/>
    <w:rsid w:val="00142C60"/>
    <w:rsid w:val="00177959"/>
    <w:rsid w:val="00196851"/>
    <w:rsid w:val="00226FD1"/>
    <w:rsid w:val="00231385"/>
    <w:rsid w:val="002611EB"/>
    <w:rsid w:val="00263039"/>
    <w:rsid w:val="002854D4"/>
    <w:rsid w:val="00294666"/>
    <w:rsid w:val="002A07C9"/>
    <w:rsid w:val="002A2F9A"/>
    <w:rsid w:val="002B53D4"/>
    <w:rsid w:val="002B5B52"/>
    <w:rsid w:val="002E51A2"/>
    <w:rsid w:val="002E61DD"/>
    <w:rsid w:val="00325877"/>
    <w:rsid w:val="00330571"/>
    <w:rsid w:val="00335A9B"/>
    <w:rsid w:val="003505E0"/>
    <w:rsid w:val="003547CD"/>
    <w:rsid w:val="00372F4B"/>
    <w:rsid w:val="00373F5D"/>
    <w:rsid w:val="003B1236"/>
    <w:rsid w:val="003D13F7"/>
    <w:rsid w:val="004000D7"/>
    <w:rsid w:val="00400135"/>
    <w:rsid w:val="00405321"/>
    <w:rsid w:val="00424A92"/>
    <w:rsid w:val="004548B0"/>
    <w:rsid w:val="00455F2D"/>
    <w:rsid w:val="004A049B"/>
    <w:rsid w:val="004B1944"/>
    <w:rsid w:val="004D00FE"/>
    <w:rsid w:val="00504E43"/>
    <w:rsid w:val="00532DF2"/>
    <w:rsid w:val="00550775"/>
    <w:rsid w:val="005C31F6"/>
    <w:rsid w:val="005C46C3"/>
    <w:rsid w:val="005C6416"/>
    <w:rsid w:val="005E37E4"/>
    <w:rsid w:val="00616F3F"/>
    <w:rsid w:val="006247C4"/>
    <w:rsid w:val="006907DB"/>
    <w:rsid w:val="006F6326"/>
    <w:rsid w:val="006F6731"/>
    <w:rsid w:val="007908F4"/>
    <w:rsid w:val="00797C4B"/>
    <w:rsid w:val="007D270E"/>
    <w:rsid w:val="00801BEB"/>
    <w:rsid w:val="00804BF2"/>
    <w:rsid w:val="00834D72"/>
    <w:rsid w:val="00844D21"/>
    <w:rsid w:val="00854133"/>
    <w:rsid w:val="008613FB"/>
    <w:rsid w:val="008676E5"/>
    <w:rsid w:val="008900A7"/>
    <w:rsid w:val="00891B19"/>
    <w:rsid w:val="008A22C6"/>
    <w:rsid w:val="008D5901"/>
    <w:rsid w:val="008E283A"/>
    <w:rsid w:val="008E4629"/>
    <w:rsid w:val="00922C1F"/>
    <w:rsid w:val="00953C86"/>
    <w:rsid w:val="00986C99"/>
    <w:rsid w:val="00994C81"/>
    <w:rsid w:val="009F048F"/>
    <w:rsid w:val="009F6401"/>
    <w:rsid w:val="00A12928"/>
    <w:rsid w:val="00A12941"/>
    <w:rsid w:val="00A2529A"/>
    <w:rsid w:val="00A32A4F"/>
    <w:rsid w:val="00A460C8"/>
    <w:rsid w:val="00A96C08"/>
    <w:rsid w:val="00AC5899"/>
    <w:rsid w:val="00AE0CA0"/>
    <w:rsid w:val="00AF4C7F"/>
    <w:rsid w:val="00B15340"/>
    <w:rsid w:val="00B52EB3"/>
    <w:rsid w:val="00B558FF"/>
    <w:rsid w:val="00B63C67"/>
    <w:rsid w:val="00B66334"/>
    <w:rsid w:val="00B87695"/>
    <w:rsid w:val="00B928EF"/>
    <w:rsid w:val="00BD4490"/>
    <w:rsid w:val="00BD4B9C"/>
    <w:rsid w:val="00BE1FD4"/>
    <w:rsid w:val="00BF240D"/>
    <w:rsid w:val="00C01128"/>
    <w:rsid w:val="00C07F80"/>
    <w:rsid w:val="00C251F7"/>
    <w:rsid w:val="00C6130E"/>
    <w:rsid w:val="00C678ED"/>
    <w:rsid w:val="00C939C6"/>
    <w:rsid w:val="00CB5E4F"/>
    <w:rsid w:val="00CD4BC9"/>
    <w:rsid w:val="00CE6085"/>
    <w:rsid w:val="00D224A2"/>
    <w:rsid w:val="00D3394A"/>
    <w:rsid w:val="00D33F83"/>
    <w:rsid w:val="00D543D9"/>
    <w:rsid w:val="00DA4201"/>
    <w:rsid w:val="00DB01D4"/>
    <w:rsid w:val="00DB1399"/>
    <w:rsid w:val="00DC2E4A"/>
    <w:rsid w:val="00DC2E8D"/>
    <w:rsid w:val="00DD1A34"/>
    <w:rsid w:val="00DD4885"/>
    <w:rsid w:val="00DD51B2"/>
    <w:rsid w:val="00E04A12"/>
    <w:rsid w:val="00E127E3"/>
    <w:rsid w:val="00E20A54"/>
    <w:rsid w:val="00E270E5"/>
    <w:rsid w:val="00E42B6D"/>
    <w:rsid w:val="00E83191"/>
    <w:rsid w:val="00E97F84"/>
    <w:rsid w:val="00EF0279"/>
    <w:rsid w:val="00F11FD1"/>
    <w:rsid w:val="00F26A8D"/>
    <w:rsid w:val="00F34F0C"/>
    <w:rsid w:val="00F64579"/>
    <w:rsid w:val="00F84B76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character" w:customStyle="1" w:styleId="Firstpagetablebold">
    <w:name w:val="First page table: bold"/>
    <w:qFormat/>
    <w:rsid w:val="00D3394A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B07E0-F550-403F-8026-36FD9C06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10114CB9</Template>
  <TotalTime>53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LUND Emma</cp:lastModifiedBy>
  <cp:revision>13</cp:revision>
  <cp:lastPrinted>2015-07-27T09:35:00Z</cp:lastPrinted>
  <dcterms:created xsi:type="dcterms:W3CDTF">2022-01-18T12:02:00Z</dcterms:created>
  <dcterms:modified xsi:type="dcterms:W3CDTF">2022-03-29T13:35:00Z</dcterms:modified>
</cp:coreProperties>
</file>